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 Р О Т О К О Л № </w:t>
      </w:r>
      <w:r>
        <w:rPr>
          <w:b/>
          <w:color w:val="000000"/>
          <w:sz w:val="28"/>
          <w:szCs w:val="28"/>
          <w:lang w:val="en-US"/>
        </w:rPr>
        <w:t>1</w:t>
      </w:r>
      <w:r>
        <w:rPr>
          <w:b/>
          <w:color w:val="000000"/>
          <w:sz w:val="28"/>
          <w:szCs w:val="28"/>
        </w:rPr>
        <w:t>/1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Заседание комиссии по рассмотрению заявок, поданных на участие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в открытом аукционе  по продаже в собственность имущества,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являющегося муниципальной собственностью </w:t>
      </w:r>
    </w:p>
    <w:p>
      <w:pPr>
        <w:pStyle w:val="Normal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Приморско-Ахтарского городского поселения Приморско – Ахтарского района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b/>
        </w:rPr>
        <w:t>Время начала работы комиссии: 1</w:t>
      </w:r>
      <w:r>
        <w:rPr>
          <w:b/>
          <w:lang w:val="en-US"/>
        </w:rPr>
        <w:t>1</w:t>
      </w:r>
      <w:r>
        <w:rPr>
          <w:b/>
        </w:rPr>
        <w:t xml:space="preserve"> ч. </w:t>
      </w:r>
      <w:r>
        <w:rPr>
          <w:b/>
          <w:lang w:val="en-US"/>
        </w:rPr>
        <w:t>0</w:t>
      </w:r>
      <w:r>
        <w:rPr>
          <w:b/>
        </w:rPr>
        <w:t>0 мин. 9 июля 2020 года, окончание работы – 12 ч. 00 мин. 9</w:t>
      </w:r>
      <w:r>
        <w:rPr>
          <w:b/>
          <w:lang w:val="ru-RU"/>
        </w:rPr>
        <w:t xml:space="preserve"> июля</w:t>
      </w:r>
      <w:r>
        <w:rPr>
          <w:b/>
        </w:rPr>
        <w:t xml:space="preserve"> 2020 года, в здании администрации Приморско-Ахтарского городского поселения Приморско – Ахтарского района по адресу:                          г. Приморско-Ахтарск, ул. Бульварная 78, каб. № 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color w:val="000000"/>
        </w:rPr>
        <w:t>Присутствовали:</w:t>
      </w:r>
    </w:p>
    <w:tbl>
      <w:tblPr>
        <w:tblW w:w="958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425"/>
        <w:gridCol w:w="5506"/>
      </w:tblGrid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Ерошкин</w:t>
            </w:r>
          </w:p>
          <w:p>
            <w:pPr>
              <w:pStyle w:val="Normal"/>
              <w:jc w:val="both"/>
              <w:rPr/>
            </w:pPr>
            <w:r>
              <w:rPr/>
              <w:t>Евгений Викторович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заместитель главы Приморско-Ахтарского городского поселения Приморско-Ахтарского района, председатель комиссии;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Бойко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Людмила Владимировна            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33" w:hanging="33"/>
              <w:jc w:val="both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начальник Муниципального казенного учреждения Приморско-Ахтарского городского поселения  Приморско- Ахтарского района «Централизованная бухгалтерия»;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Мизерная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 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>Ирина Константиновна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33" w:hanging="33"/>
              <w:jc w:val="both"/>
              <w:rPr/>
            </w:pPr>
            <w:r>
              <w:rPr/>
              <w:t>-</w:t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3255" w:leader="none"/>
              </w:tabs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начальник отдела по финансово-экономической работе и бюджету </w:t>
            </w:r>
            <w:r>
              <w:rPr>
                <w:rFonts w:eastAsia="Calibri"/>
                <w:spacing w:val="-5"/>
                <w:sz w:val="24"/>
                <w:szCs w:val="24"/>
              </w:rPr>
              <w:t>администрации Приморско-Ахтарского городского поселения Приморско-Ахтарского района;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Широкая</w:t>
            </w:r>
          </w:p>
          <w:p>
            <w:pPr>
              <w:pStyle w:val="Normal"/>
              <w:jc w:val="both"/>
              <w:rPr/>
            </w:pPr>
            <w:r>
              <w:rPr/>
              <w:t>Ольга Ивановна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  <w:t>-</w:t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начальник отдела земельных и имущественных отношений администрации Приморско-Ахтарского городского поселения Приморско-Ахтарского района</w:t>
            </w:r>
          </w:p>
        </w:tc>
      </w:tr>
      <w:tr>
        <w:trPr/>
        <w:tc>
          <w:tcPr>
            <w:tcW w:w="3652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Шмарин </w:t>
            </w:r>
          </w:p>
          <w:p>
            <w:pPr>
              <w:pStyle w:val="Normal"/>
              <w:jc w:val="both"/>
              <w:rPr/>
            </w:pPr>
            <w:r>
              <w:rPr/>
              <w:t>Сергей Сергеевич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ind w:left="-113" w:firstLine="20"/>
              <w:jc w:val="center"/>
              <w:rPr/>
            </w:pPr>
            <w:r>
              <w:rPr/>
            </w:r>
          </w:p>
        </w:tc>
        <w:tc>
          <w:tcPr>
            <w:tcW w:w="55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30" w:leader="none"/>
              </w:tabs>
              <w:jc w:val="both"/>
              <w:rPr/>
            </w:pPr>
            <w:r>
              <w:rPr/>
              <w:t>начальник юридического отдела администрации Приморско-Ахтарского городского поселения Приморско-Ахтарского района</w:t>
            </w:r>
          </w:p>
        </w:tc>
      </w:tr>
    </w:tbl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napToGrid w:val="false"/>
        <w:jc w:val="both"/>
        <w:rPr/>
      </w:pPr>
      <w:r>
        <w:rPr>
          <w:b/>
          <w:color w:val="000000"/>
        </w:rPr>
        <w:t>Кворум имеется. Заседание правомочно.</w:t>
      </w:r>
    </w:p>
    <w:p>
      <w:pPr>
        <w:pStyle w:val="Normal"/>
        <w:snapToGrid w:val="false"/>
        <w:jc w:val="both"/>
        <w:rPr/>
      </w:pPr>
      <w:r>
        <w:rPr>
          <w:b/>
          <w:color w:val="000000"/>
        </w:rPr>
        <w:t>Повестка дня:</w:t>
      </w:r>
    </w:p>
    <w:p>
      <w:pPr>
        <w:pStyle w:val="Normal"/>
        <w:snapToGrid w:val="false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/>
        <w:numPr>
          <w:ilvl w:val="0"/>
          <w:numId w:val="1"/>
        </w:numPr>
        <w:bidi w:val="0"/>
        <w:ind w:left="0" w:right="57" w:firstLine="340"/>
        <w:jc w:val="both"/>
        <w:rPr/>
      </w:pPr>
      <w:r>
        <w:rPr>
          <w:color w:val="000000"/>
        </w:rPr>
        <w:t>Рассмотрение заявок,</w:t>
      </w:r>
      <w:r>
        <w:rPr>
          <w:b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поданных </w:t>
      </w:r>
      <w:r>
        <w:rPr>
          <w:color w:val="000000"/>
        </w:rPr>
        <w:t>на</w:t>
      </w:r>
      <w:r>
        <w:rPr>
          <w:b/>
          <w:color w:val="000000"/>
        </w:rPr>
        <w:t xml:space="preserve"> </w:t>
      </w:r>
      <w:r>
        <w:rPr>
          <w:color w:val="000000"/>
        </w:rPr>
        <w:t>участие в аукционе на предмет соответствия требованиям, установленным в информационном сообщении о продаже муниципального имущества в форме аукциона, и соответствия заявителей к требованиям, установленным действующим законодательством.</w:t>
      </w:r>
    </w:p>
    <w:p>
      <w:pPr>
        <w:pStyle w:val="Normal"/>
        <w:widowControl/>
        <w:numPr>
          <w:ilvl w:val="0"/>
          <w:numId w:val="1"/>
        </w:numPr>
        <w:bidi w:val="0"/>
        <w:ind w:left="0" w:right="0" w:firstLine="340"/>
        <w:jc w:val="both"/>
        <w:rPr/>
      </w:pPr>
      <w:r>
        <w:rPr/>
        <w:t>Рассмотрение вопроса о допуске к участию в аукционе заявителей и о признании заявителей участниками аукциона.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snapToGrid w:val="false"/>
        <w:jc w:val="both"/>
        <w:rPr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Лот № 1</w:t>
      </w:r>
      <w:r>
        <w:rPr>
          <w:rFonts w:cs="Times New Roman"/>
          <w:bCs/>
          <w:color w:val="000000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Нежилое помещение, назначение: нежилое-летняя кухня, кадастровый номер 23:25:0101033:306, площадь 25,5 кв.м, с земельным участком: кадастровый номер 23:25:0101036:53, категория земель - земли населенных пунктов, вид разрешенного использования - индивидуальное жилищное строительство, площадь 123 кв.м., расположенные по адресу: 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Краснодарский край, Приморско-Ахтарский район, г. Приморско-Ахтарск, ул. Мира, д. 181</w:t>
      </w:r>
      <w:r>
        <w:rPr>
          <w:rFonts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Начальная цена продажи имущества составляет</w:t>
      </w:r>
      <w:r>
        <w:rPr>
          <w:rFonts w:cs="Times New Roman"/>
          <w:color w:val="000000"/>
          <w:sz w:val="24"/>
          <w:szCs w:val="24"/>
        </w:rPr>
        <w:t xml:space="preserve"> 331 000 рублей (триста тридцать одна тысяча рублей) 00 копеек без учета НДС. 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Лот № 2:</w:t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Нежилое помещение, назначение: нежилое-летняя кухня, кадастровый номер 23:25:0101050:45, площадь 60,2 кв.м, с земельным участком: кадастровый номер 23:25:0101050:22, категория земель - земли населенных пунктов, вид разрешенного использования - под строительство индивидуального жилого дома, площадь 436 кв.м.,  расположенные по адресу: Краснодарский край, Приморско-Ахтарский район, г. Приморско-Ахтарск, ул. Космонавтов, д.97.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  <w:lang w:eastAsia="ru-RU"/>
        </w:rPr>
        <w:t>Начальная цена продажи имущества составляет</w:t>
      </w:r>
      <w:r>
        <w:rPr>
          <w:rFonts w:cs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                     855 000 рублей (восемьсот пятьдесят пять тысяч рублей) 00 копеек) без учета НДС. </w:t>
      </w:r>
    </w:p>
    <w:p>
      <w:pPr>
        <w:pStyle w:val="Normal"/>
        <w:widowControl/>
        <w:bidi w:val="0"/>
        <w:snapToGrid w:val="false"/>
        <w:ind w:left="0" w:right="0" w:firstLine="737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На участие в открытом аукционе по продаже в собственность имущества, являющегося муниципальной собственностью Приморско-Ахтарского городского поселения Приморско – Ахтарского района, открытого по форме подачи предложений о цене предмета торгов подали заявки по сроку указанного в информационном сообщении о проведении аукциона, т.е. до 18-00 часов 2 июля 2020 года, следующие претенденты:</w:t>
      </w:r>
    </w:p>
    <w:p>
      <w:pPr>
        <w:pStyle w:val="Normal"/>
        <w:snapToGrid w:val="false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jc w:val="both"/>
        <w:rPr/>
      </w:pPr>
      <w:r>
        <w:rPr>
          <w:b/>
        </w:rPr>
        <w:t xml:space="preserve">По Лоту № </w:t>
      </w:r>
      <w:r>
        <w:rPr>
          <w:b/>
          <w:lang w:val="en-US"/>
        </w:rPr>
        <w:t>1</w:t>
      </w:r>
      <w:r>
        <w:rPr>
          <w:b/>
        </w:rPr>
        <w:t>:</w:t>
      </w:r>
    </w:p>
    <w:p>
      <w:pPr>
        <w:pStyle w:val="Normal"/>
        <w:jc w:val="both"/>
        <w:rPr/>
      </w:pPr>
      <w:r>
        <w:rPr/>
        <w:t>Заявки на участие в аукционе не поступили.</w:t>
      </w:r>
    </w:p>
    <w:p>
      <w:pPr>
        <w:pStyle w:val="Normal"/>
        <w:jc w:val="both"/>
        <w:rPr/>
      </w:pPr>
      <w:r>
        <w:rPr>
          <w:color w:val="000000"/>
        </w:rPr>
        <w:t>Заявки на участие, 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snapToGrid w:val="false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  <w:sz w:val="24"/>
          <w:szCs w:val="24"/>
        </w:rPr>
        <w:t>Отказано в приеме документов (в допуске к участию в аукционе) – нет.</w:t>
      </w:r>
    </w:p>
    <w:p>
      <w:pPr>
        <w:pStyle w:val="Normal"/>
        <w:snapToGrid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napToGrid w:val="false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 xml:space="preserve">По Лоту №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2</w:t>
      </w:r>
    </w:p>
    <w:p>
      <w:pPr>
        <w:pStyle w:val="Normal"/>
        <w:widowControl/>
        <w:bidi w:val="0"/>
        <w:snapToGrid w:val="false"/>
        <w:ind w:left="0" w:right="0" w:hanging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1. Чайка-Хрюкина Любовь Анатольевна</w:t>
      </w:r>
      <w:r>
        <w:rPr>
          <w:rFonts w:cs="Times New Roman"/>
          <w:bCs/>
          <w:color w:val="000000"/>
          <w:sz w:val="24"/>
          <w:szCs w:val="24"/>
        </w:rPr>
        <w:t xml:space="preserve">, 04.09.1960 г.р., паспорт серия 03 18 № 953154, выдан 02.03.2018 г. ГУ МВД России по Краснодарскому краю, зарегистрированная по адресу: Краснодарский край, Приморско-Ахтарский район, г. Приморско-Ахтарск,                     с/т Мичуринец, ул. Уютная, дом № 30 - физическое лицо, </w:t>
      </w:r>
      <w:r>
        <w:rPr>
          <w:rFonts w:cs="Times New Roman"/>
          <w:b/>
          <w:bCs/>
          <w:color w:val="000000"/>
          <w:sz w:val="24"/>
          <w:szCs w:val="24"/>
        </w:rPr>
        <w:t xml:space="preserve">заявка № 1 на участие в аукционе по лоту № </w:t>
      </w:r>
      <w:r>
        <w:rPr>
          <w:rFonts w:cs="Times New Roman"/>
          <w:b/>
          <w:bCs/>
          <w:color w:val="000000"/>
          <w:sz w:val="24"/>
          <w:szCs w:val="24"/>
          <w:lang w:val="en-US"/>
        </w:rPr>
        <w:t>2</w:t>
      </w:r>
      <w:r>
        <w:rPr>
          <w:rFonts w:cs="Times New Roman"/>
          <w:bCs/>
          <w:color w:val="000000"/>
          <w:sz w:val="24"/>
          <w:szCs w:val="24"/>
        </w:rPr>
        <w:t xml:space="preserve"> принята Продавцом 11 июня 2020 года в 11 часов 09 мин., задаток в размере 20 % от начальной цены продаваемого имущества в сумме – 171 000,00 рублей (сто семьдесят одна тысяча р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ублей) 00 копеек</w:t>
      </w:r>
      <w:r>
        <w:rPr>
          <w:rFonts w:cs="Times New Roman"/>
          <w:bCs/>
          <w:color w:val="000000"/>
          <w:sz w:val="24"/>
          <w:szCs w:val="24"/>
        </w:rPr>
        <w:t xml:space="preserve"> внесен претендентом 10 июня 2020 г., поступил            11 июня 2020 года.</w:t>
      </w:r>
    </w:p>
    <w:p>
      <w:pPr>
        <w:pStyle w:val="Normal"/>
        <w:jc w:val="both"/>
        <w:rPr/>
      </w:pPr>
      <w:r>
        <w:rPr/>
        <w:t>Заявки на участие, поданные в форме электронных документов – отсутствуют.</w:t>
      </w:r>
    </w:p>
    <w:p>
      <w:pPr>
        <w:pStyle w:val="Normal"/>
        <w:jc w:val="both"/>
        <w:rPr/>
      </w:pPr>
      <w:r>
        <w:rPr/>
        <w:t>Количество отозванных заявок – нет</w:t>
      </w:r>
    </w:p>
    <w:p>
      <w:pPr>
        <w:pStyle w:val="Normal"/>
        <w:snapToGrid w:val="false"/>
        <w:jc w:val="both"/>
        <w:rPr/>
      </w:pPr>
      <w:r>
        <w:rPr>
          <w:rFonts w:cs="Times New Roman"/>
          <w:bCs/>
          <w:color w:val="000000"/>
          <w:sz w:val="24"/>
          <w:szCs w:val="24"/>
        </w:rPr>
        <w:t>Отказано в приеме документов (в допуске к участию в аукционе) – нет.</w:t>
      </w:r>
    </w:p>
    <w:p>
      <w:pPr>
        <w:pStyle w:val="Normal"/>
        <w:snapToGrid w:val="false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Normal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2250" w:leader="none"/>
          <w:tab w:val="left" w:pos="3270" w:leader="none"/>
          <w:tab w:val="left" w:pos="4111" w:leader="none"/>
        </w:tabs>
        <w:bidi w:val="0"/>
        <w:ind w:left="0" w:right="0" w:firstLine="737"/>
        <w:jc w:val="both"/>
        <w:rPr/>
      </w:pPr>
      <w:r>
        <w:rPr>
          <w:b/>
        </w:rPr>
        <w:t>По второму вопросу повестки дня слушали председателя комиссии Ерошкина Евгения Викторовича о допуске заявителя к участию в аукционе и о признании заявителя участником аукциона</w:t>
      </w:r>
      <w:r>
        <w:rPr>
          <w:b/>
          <w:bCs/>
        </w:rPr>
        <w:t>.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2250" w:leader="none"/>
          <w:tab w:val="left" w:pos="3270" w:leader="none"/>
          <w:tab w:val="left" w:pos="4111" w:leader="none"/>
        </w:tabs>
        <w:jc w:val="left"/>
        <w:rPr>
          <w:sz w:val="24"/>
          <w:szCs w:val="24"/>
        </w:rPr>
      </w:pPr>
      <w:r>
        <w:rPr>
          <w:b/>
          <w:sz w:val="24"/>
          <w:szCs w:val="24"/>
        </w:rPr>
        <w:t>Комиссия решила: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По Лоту № </w:t>
      </w:r>
      <w:r>
        <w:rPr>
          <w:b/>
          <w:lang w:val="en-US"/>
        </w:rPr>
        <w:t>1</w:t>
      </w:r>
      <w:r>
        <w:rPr>
          <w:b/>
        </w:rPr>
        <w:t>:</w:t>
      </w:r>
    </w:p>
    <w:p>
      <w:pPr>
        <w:pStyle w:val="Normal"/>
        <w:jc w:val="both"/>
        <w:rPr>
          <w:b/>
          <w:b/>
        </w:rPr>
      </w:pPr>
      <w:r>
        <w:rPr>
          <w:b/>
        </w:rPr>
        <w:t>1. О</w:t>
      </w:r>
      <w:r>
        <w:rPr>
          <w:b/>
          <w:bCs/>
        </w:rPr>
        <w:t xml:space="preserve">ткрытый аукцион </w:t>
      </w:r>
      <w:r>
        <w:rPr>
          <w:rFonts w:cs="Times New Roman"/>
          <w:b/>
          <w:bCs/>
          <w:color w:val="000000"/>
          <w:sz w:val="24"/>
          <w:szCs w:val="24"/>
        </w:rPr>
        <w:t>по продаже в собственность имущества, являющегося муниципальной собственностью Приморско-Ахтарского городского поселения Приморско – Ахтарского района</w:t>
      </w:r>
      <w:r>
        <w:rPr>
          <w:b/>
          <w:bCs/>
          <w:color w:val="000000"/>
        </w:rPr>
        <w:t xml:space="preserve"> по Лоту № </w:t>
      </w:r>
      <w:r>
        <w:rPr>
          <w:b/>
          <w:bCs/>
          <w:color w:val="000000"/>
          <w:lang w:val="en-US"/>
        </w:rPr>
        <w:t>1</w:t>
      </w:r>
      <w:r>
        <w:rPr>
          <w:b/>
          <w:bCs/>
          <w:color w:val="000000"/>
        </w:rPr>
        <w:t>, назначенный на 14 июля 2020 года в               11-00 часов</w:t>
      </w:r>
      <w:r>
        <w:rPr>
          <w:b/>
          <w:color w:val="000000"/>
        </w:rPr>
        <w:t xml:space="preserve">, </w:t>
      </w:r>
      <w:r>
        <w:rPr>
          <w:b/>
        </w:rPr>
        <w:t>признать не состоявшимся, в виду отсутствия заявок.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По Лоту № </w:t>
      </w:r>
      <w:r>
        <w:rPr>
          <w:b/>
          <w:lang w:val="en-US"/>
        </w:rPr>
        <w:t>2</w:t>
      </w:r>
      <w:r>
        <w:rPr>
          <w:b/>
        </w:rPr>
        <w:t>:</w:t>
      </w:r>
    </w:p>
    <w:p>
      <w:pPr>
        <w:pStyle w:val="Normal"/>
        <w:jc w:val="both"/>
        <w:rPr/>
      </w:pPr>
      <w:r>
        <w:rPr/>
        <w:t>1. В виду того, что по сроку указанному в информационном сообщении о проведении аукциона подана единственная заявка:</w:t>
      </w:r>
      <w:r>
        <w:rPr>
          <w:b/>
        </w:rPr>
        <w:t xml:space="preserve"> признать единственным участником </w:t>
      </w:r>
      <w:r>
        <w:rPr>
          <w:b/>
          <w:bCs/>
        </w:rPr>
        <w:t xml:space="preserve">открытого  аукциона </w:t>
      </w:r>
      <w:bookmarkStart w:id="0" w:name="__DdeLink__27306_2250870963"/>
      <w:r>
        <w:rPr>
          <w:rFonts w:cs="Times New Roman"/>
          <w:b/>
          <w:bCs/>
          <w:color w:val="000000"/>
          <w:sz w:val="24"/>
          <w:szCs w:val="24"/>
        </w:rPr>
        <w:t>по продаже в собственность имущества, являющегося муниципальной собственностью Приморско-Ахтарского городского поселения Приморско – Ахтарского района</w:t>
      </w:r>
      <w:bookmarkEnd w:id="0"/>
      <w:r>
        <w:rPr>
          <w:rFonts w:cs="Times New Roman"/>
          <w:b/>
          <w:bCs/>
          <w:color w:val="000000"/>
          <w:sz w:val="24"/>
          <w:szCs w:val="24"/>
        </w:rPr>
        <w:t xml:space="preserve"> в </w:t>
      </w:r>
      <w:r>
        <w:rPr>
          <w:b/>
          <w:bCs/>
          <w:color w:val="000000"/>
        </w:rPr>
        <w:t xml:space="preserve">отношении Лота № </w:t>
      </w:r>
      <w:r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</w:rPr>
        <w:t xml:space="preserve"> -</w:t>
      </w:r>
      <w:r>
        <w:rPr>
          <w:color w:val="000000"/>
        </w:rPr>
        <w:t xml:space="preserve"> физическое лицо</w:t>
      </w:r>
      <w:r>
        <w:rPr>
          <w:b/>
          <w:color w:val="000000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 xml:space="preserve">Чайка-Хрюкину Любовь Анатольевну, 04.09.1960 г.р., паспорт серия 03 18 № 953154, выдан 02.03.2018 г. ГУ МВД России по Краснодарскому краю, зарегистрированную по адресу: Краснодарский край, Приморско-Ахтарский район, г. Приморско-Ахтарск, с/т Мичуринец, ул. Уютная,                    дом № 30 </w:t>
      </w:r>
      <w:r>
        <w:rPr>
          <w:b w:val="false"/>
          <w:bCs w:val="false"/>
          <w:color w:val="000000"/>
        </w:rPr>
        <w:t>.</w:t>
      </w:r>
    </w:p>
    <w:p>
      <w:pPr>
        <w:pStyle w:val="Normal"/>
        <w:jc w:val="both"/>
        <w:rPr/>
      </w:pPr>
      <w:r>
        <w:rPr/>
        <w:t>2.</w:t>
      </w:r>
      <w:r>
        <w:rPr>
          <w:b/>
        </w:rPr>
        <w:t xml:space="preserve"> </w:t>
      </w:r>
      <w:r>
        <w:rPr/>
        <w:t>О</w:t>
      </w:r>
      <w:r>
        <w:rPr>
          <w:bCs/>
        </w:rPr>
        <w:t>ткрытый аукцион</w:t>
      </w:r>
      <w:r>
        <w:rPr>
          <w:b/>
          <w:bCs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по продаже в собственность имущества, являющегося муниципальной собственностью Приморско-Ахтарского городского поселения Приморско – Ахтарского района</w:t>
      </w:r>
      <w:r>
        <w:rPr>
          <w:bCs/>
        </w:rPr>
        <w:t xml:space="preserve">, </w:t>
      </w:r>
      <w:r>
        <w:rPr>
          <w:b/>
          <w:bCs/>
          <w:color w:val="000000"/>
        </w:rPr>
        <w:t xml:space="preserve">в отношении Лота № </w:t>
      </w:r>
      <w:r>
        <w:rPr>
          <w:b/>
          <w:bCs/>
          <w:color w:val="000000"/>
          <w:lang w:val="en-US"/>
        </w:rPr>
        <w:t>2</w:t>
      </w:r>
      <w:r>
        <w:rPr>
          <w:bCs/>
          <w:color w:val="000000"/>
        </w:rPr>
        <w:t>, назначенный на 14 июля 2020</w:t>
      </w:r>
      <w:r>
        <w:rPr>
          <w:color w:val="000000"/>
        </w:rPr>
        <w:t xml:space="preserve"> года в 11-00 часов, </w:t>
      </w:r>
      <w:r>
        <w:rPr>
          <w:bCs/>
          <w:color w:val="000000"/>
        </w:rPr>
        <w:t xml:space="preserve"> </w:t>
      </w:r>
      <w:r>
        <w:rPr>
          <w:b/>
        </w:rPr>
        <w:t>признать не состоявшимся</w:t>
      </w:r>
      <w:r>
        <w:rPr/>
        <w:t xml:space="preserve">, в связи с признанием участником </w:t>
      </w:r>
      <w:r>
        <w:rPr>
          <w:bCs/>
        </w:rPr>
        <w:t>аукциона</w:t>
      </w:r>
      <w:r>
        <w:rPr/>
        <w:t xml:space="preserve"> только одного заявителя. Договор купли-продажи муниципального недвижимого имущества заключить с единственным участником - физическим лицом </w:t>
      </w:r>
      <w:r>
        <w:rPr>
          <w:rFonts w:cs="Times New Roman"/>
          <w:b/>
          <w:bCs/>
          <w:color w:val="000000"/>
          <w:sz w:val="24"/>
          <w:szCs w:val="24"/>
        </w:rPr>
        <w:t>Чайка-Хрюкиной Любовь Анатольевной</w:t>
      </w:r>
      <w:r>
        <w:rPr/>
        <w:t>, что не является нарушением антимонопольного законодательства (разъяснения ФАС от 02.06.2010г. по применению статьи 17.1 Федерального закона от 26 июля 2006 № 135-ФЗ «О защите конкуренции»).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/>
        </w:rPr>
        <w:t>Председатель комиссии: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pacing w:val="-5"/>
        </w:rPr>
        <w:t>Заместитель главы Приморско-Ахтарского</w:t>
      </w:r>
    </w:p>
    <w:p>
      <w:pPr>
        <w:pStyle w:val="Normal"/>
        <w:tabs>
          <w:tab w:val="clear" w:pos="708"/>
          <w:tab w:val="left" w:pos="8160" w:leader="none"/>
        </w:tabs>
        <w:jc w:val="both"/>
        <w:rPr/>
      </w:pPr>
      <w:r>
        <w:rPr>
          <w:b w:val="false"/>
          <w:bCs w:val="false"/>
          <w:spacing w:val="-5"/>
        </w:rPr>
        <w:t>городского поселения Приморско-Ахтарского района                                                    Е.В. Ерошкин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b/>
        </w:rPr>
        <w:t>Секретарь комиссии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Начальник отдела земельных и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 xml:space="preserve">имущественных отношений администрации </w:t>
      </w:r>
    </w:p>
    <w:p>
      <w:pPr>
        <w:pStyle w:val="Normal"/>
        <w:tabs>
          <w:tab w:val="clear" w:pos="708"/>
          <w:tab w:val="left" w:pos="4500" w:leader="none"/>
        </w:tabs>
        <w:jc w:val="both"/>
        <w:rPr/>
      </w:pPr>
      <w:r>
        <w:rPr>
          <w:sz w:val="24"/>
          <w:szCs w:val="24"/>
        </w:rPr>
        <w:t>Приморско-Ахтарского городского поселения</w:t>
      </w:r>
    </w:p>
    <w:p>
      <w:pPr>
        <w:pStyle w:val="Normal"/>
        <w:rPr/>
      </w:pPr>
      <w:r>
        <w:rPr>
          <w:sz w:val="24"/>
          <w:szCs w:val="24"/>
        </w:rPr>
        <w:t xml:space="preserve">Приморско-Ахтарского района  </w:t>
      </w:r>
      <w:r>
        <w:rPr/>
        <w:t xml:space="preserve">                                                                                О.И. Широкая</w:t>
      </w:r>
    </w:p>
    <w:p>
      <w:pPr>
        <w:pStyle w:val="Normal"/>
        <w:jc w:val="both"/>
        <w:rPr/>
      </w:pPr>
      <w:r>
        <w:rPr>
          <w:bCs/>
        </w:rPr>
        <w:t xml:space="preserve"> </w:t>
      </w:r>
    </w:p>
    <w:p>
      <w:pPr>
        <w:pStyle w:val="Normal"/>
        <w:jc w:val="both"/>
        <w:rPr/>
      </w:pPr>
      <w:r>
        <w:rPr>
          <w:b/>
        </w:rPr>
        <w:t>Члены комиссии: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8160" w:leader="none"/>
        </w:tabs>
        <w:jc w:val="both"/>
        <w:rPr/>
      </w:pPr>
      <w:r>
        <w:rPr/>
        <w:t>Начальник МКУ «ЦБ»                                                                                                 Л.В. Бойко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Начальник отдела по финансово-экономической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работе и бюджету </w:t>
      </w:r>
      <w:r>
        <w:rPr>
          <w:rFonts w:eastAsia="Calibri"/>
          <w:spacing w:val="-5"/>
          <w:sz w:val="24"/>
          <w:szCs w:val="24"/>
        </w:rPr>
        <w:t xml:space="preserve">администрации 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  <w:t xml:space="preserve">Приморско-Ахтарского городского поселения 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Приморско-Ахтарского района                                                                                             И.К. Мизерная</w:t>
      </w:r>
    </w:p>
    <w:p>
      <w:pPr>
        <w:pStyle w:val="Normal"/>
        <w:tabs>
          <w:tab w:val="clear" w:pos="708"/>
          <w:tab w:val="left" w:pos="3255" w:leader="none"/>
        </w:tabs>
        <w:jc w:val="both"/>
        <w:rPr>
          <w:rFonts w:eastAsia="Calibri"/>
          <w:spacing w:val="-5"/>
          <w:sz w:val="24"/>
          <w:szCs w:val="24"/>
        </w:rPr>
      </w:pPr>
      <w:r>
        <w:rPr>
          <w:rFonts w:eastAsia="Calibri"/>
          <w:spacing w:val="-5"/>
          <w:sz w:val="24"/>
          <w:szCs w:val="24"/>
        </w:rPr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rFonts w:eastAsia="Calibri"/>
          <w:spacing w:val="-5"/>
          <w:sz w:val="24"/>
          <w:szCs w:val="24"/>
        </w:rPr>
        <w:t>Начальник юридического отдела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sz w:val="24"/>
          <w:szCs w:val="24"/>
        </w:rPr>
        <w:t xml:space="preserve">администрации Приморско-Ахтарского </w:t>
      </w:r>
    </w:p>
    <w:p>
      <w:pPr>
        <w:pStyle w:val="Normal"/>
        <w:tabs>
          <w:tab w:val="clear" w:pos="708"/>
          <w:tab w:val="left" w:pos="3255" w:leader="none"/>
        </w:tabs>
        <w:jc w:val="both"/>
        <w:rPr/>
      </w:pPr>
      <w:r>
        <w:rPr>
          <w:sz w:val="24"/>
          <w:szCs w:val="24"/>
        </w:rPr>
        <w:t>городского поселения</w:t>
      </w:r>
    </w:p>
    <w:p>
      <w:pPr>
        <w:pStyle w:val="Normal"/>
        <w:tabs>
          <w:tab w:val="clear" w:pos="708"/>
          <w:tab w:val="left" w:pos="6930" w:leader="none"/>
        </w:tabs>
        <w:jc w:val="both"/>
        <w:rPr/>
      </w:pPr>
      <w:r>
        <w:rPr>
          <w:sz w:val="24"/>
          <w:szCs w:val="24"/>
        </w:rPr>
        <w:t xml:space="preserve">Приморско-Ахтарского района                                                                                   С.С. Шмарин         </w:t>
      </w:r>
    </w:p>
    <w:sectPr>
      <w:type w:val="nextPage"/>
      <w:pgSz w:w="11906" w:h="16838"/>
      <w:pgMar w:left="1701" w:right="567" w:header="0" w:top="885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76ce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f1491"/>
    <w:rPr>
      <w:strike w:val="false"/>
      <w:dstrike w:val="false"/>
      <w:color w:val="2A4EA1"/>
      <w:u w:val="single"/>
      <w:effect w:val="none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1a4444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basedOn w:val="Normal"/>
    <w:qFormat/>
    <w:rsid w:val="001e5c7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f646dd"/>
    <w:pPr>
      <w:spacing w:after="200" w:line="276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2165267</TotalTime>
  <Application>LibreOffice/6.1.2.1$Windows_X86_64 LibreOffice_project/65905a128db06ba48db947242809d14d3f9a93fe</Application>
  <Pages>3</Pages>
  <Words>843</Words>
  <Characters>5891</Characters>
  <CharactersWithSpaces>7233</CharactersWithSpaces>
  <Paragraphs>72</Paragraphs>
  <Company>Администрация Приморско-Ахтарского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2011-02-17T10:16:00Z</dcterms:created>
  <dc:creator>Стародуб</dc:creator>
  <dc:description/>
  <dc:language>ru-RU</dc:language>
  <cp:lastModifiedBy/>
  <cp:lastPrinted>2017-05-11T10:55:40Z</cp:lastPrinted>
  <dcterms:modified xsi:type="dcterms:W3CDTF">2020-07-08T19:58:23Z</dcterms:modified>
  <cp:revision>75</cp:revision>
  <dc:subject/>
  <dc:title>                                             П Р О Т О К О Л  № 2/4-07им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Приморско-Ахтарского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